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D0" w:rsidRPr="00281ED0" w:rsidRDefault="00281ED0" w:rsidP="00281ED0">
      <w:pPr>
        <w:ind w:firstLine="0"/>
        <w:jc w:val="center"/>
        <w:rPr>
          <w:b/>
          <w:caps/>
        </w:rPr>
      </w:pPr>
      <w:bookmarkStart w:id="0" w:name="_Toc421615979"/>
      <w:r w:rsidRPr="00281ED0">
        <w:rPr>
          <w:b/>
          <w:caps/>
        </w:rPr>
        <w:t>Цели ОАО «НТЦ Промтехаэро» в области качества</w:t>
      </w:r>
    </w:p>
    <w:p w:rsidR="00FA1E14" w:rsidRPr="00281ED0" w:rsidRDefault="00281ED0" w:rsidP="00281ED0">
      <w:pPr>
        <w:ind w:firstLine="0"/>
        <w:jc w:val="center"/>
        <w:rPr>
          <w:caps/>
        </w:rPr>
      </w:pPr>
      <w:r w:rsidRPr="00281ED0">
        <w:rPr>
          <w:b/>
          <w:caps/>
        </w:rPr>
        <w:t>на 2015 год</w:t>
      </w:r>
      <w:bookmarkEnd w:id="0"/>
    </w:p>
    <w:p w:rsidR="00281ED0" w:rsidRDefault="00281ED0"/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6244"/>
      </w:tblGrid>
      <w:tr w:rsidR="00281ED0" w:rsidRPr="00B37163" w:rsidTr="00281ED0">
        <w:trPr>
          <w:trHeight w:val="503"/>
        </w:trPr>
        <w:tc>
          <w:tcPr>
            <w:tcW w:w="1854" w:type="pct"/>
            <w:shd w:val="clear" w:color="auto" w:fill="auto"/>
            <w:vAlign w:val="center"/>
          </w:tcPr>
          <w:p w:rsidR="00281ED0" w:rsidRPr="00B37163" w:rsidRDefault="00281ED0" w:rsidP="00B37163">
            <w:pPr>
              <w:ind w:firstLine="0"/>
              <w:jc w:val="center"/>
              <w:rPr>
                <w:bCs/>
              </w:rPr>
            </w:pPr>
            <w:r w:rsidRPr="00B37163">
              <w:rPr>
                <w:bCs/>
              </w:rPr>
              <w:t>Направления Политики в области качества</w:t>
            </w:r>
          </w:p>
        </w:tc>
        <w:tc>
          <w:tcPr>
            <w:tcW w:w="3146" w:type="pct"/>
            <w:shd w:val="clear" w:color="auto" w:fill="auto"/>
            <w:vAlign w:val="center"/>
          </w:tcPr>
          <w:p w:rsidR="00281ED0" w:rsidRPr="00B37163" w:rsidRDefault="00281ED0" w:rsidP="00B37163">
            <w:pPr>
              <w:ind w:firstLine="0"/>
              <w:jc w:val="center"/>
              <w:rPr>
                <w:bCs/>
              </w:rPr>
            </w:pPr>
            <w:r w:rsidRPr="00B37163">
              <w:rPr>
                <w:bCs/>
              </w:rPr>
              <w:t>Цели в области качества</w:t>
            </w:r>
          </w:p>
        </w:tc>
      </w:tr>
      <w:tr w:rsidR="00281ED0" w:rsidRPr="00B37163" w:rsidTr="00281ED0">
        <w:tc>
          <w:tcPr>
            <w:tcW w:w="1854" w:type="pct"/>
            <w:vMerge w:val="restar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Удовлетворение потребн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стей заказчиков по выпо</w:t>
            </w:r>
            <w:r w:rsidRPr="00B37163">
              <w:rPr>
                <w:bCs/>
                <w:iCs/>
              </w:rPr>
              <w:t>л</w:t>
            </w:r>
            <w:r w:rsidRPr="00B37163">
              <w:rPr>
                <w:bCs/>
                <w:iCs/>
              </w:rPr>
              <w:t>нению возложенных задач в части разработки и прои</w:t>
            </w:r>
            <w:r w:rsidRPr="00B37163">
              <w:rPr>
                <w:bCs/>
                <w:iCs/>
              </w:rPr>
              <w:t>з</w:t>
            </w:r>
            <w:r w:rsidRPr="00B37163">
              <w:rPr>
                <w:bCs/>
                <w:iCs/>
              </w:rPr>
              <w:t>водства высокотехнологи</w:t>
            </w:r>
            <w:r w:rsidRPr="00B37163">
              <w:rPr>
                <w:bCs/>
                <w:iCs/>
              </w:rPr>
              <w:t>ч</w:t>
            </w:r>
            <w:r w:rsidRPr="00B37163">
              <w:rPr>
                <w:bCs/>
                <w:iCs/>
              </w:rPr>
              <w:t>ной продукции гражданск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го и двойного назначения, конкурентоспособной на внутреннем и внешнем ры</w:t>
            </w:r>
            <w:r w:rsidRPr="00B37163">
              <w:rPr>
                <w:bCs/>
                <w:iCs/>
              </w:rPr>
              <w:t>н</w:t>
            </w:r>
            <w:r w:rsidRPr="00B37163">
              <w:rPr>
                <w:bCs/>
                <w:iCs/>
              </w:rPr>
              <w:t>ке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Исключить случаи превышения установленных сроков согласования контрактов (договоров)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выполнение в срок договорных об</w:t>
            </w:r>
            <w:r w:rsidRPr="00B37163">
              <w:rPr>
                <w:bCs/>
                <w:iCs/>
              </w:rPr>
              <w:t>я</w:t>
            </w:r>
            <w:r w:rsidRPr="00B37163">
              <w:rPr>
                <w:bCs/>
                <w:iCs/>
              </w:rPr>
              <w:t>зательств не ниже 95%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</w:t>
            </w:r>
            <w:bookmarkStart w:id="1" w:name="_GoBack"/>
            <w:bookmarkEnd w:id="1"/>
            <w:r w:rsidRPr="00B37163">
              <w:rPr>
                <w:bCs/>
                <w:iCs/>
              </w:rPr>
              <w:t>чить прохождение сертификации типа р</w:t>
            </w:r>
            <w:r w:rsidRPr="00B37163">
              <w:rPr>
                <w:bCs/>
                <w:iCs/>
              </w:rPr>
              <w:t>а</w:t>
            </w:r>
            <w:r w:rsidRPr="00B37163">
              <w:rPr>
                <w:bCs/>
                <w:iCs/>
              </w:rPr>
              <w:t>диосредств серии «Буран» в количестве 5 шт.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проведение сертификации произво</w:t>
            </w:r>
            <w:r w:rsidRPr="00B37163">
              <w:rPr>
                <w:bCs/>
                <w:iCs/>
              </w:rPr>
              <w:t>д</w:t>
            </w:r>
            <w:r w:rsidRPr="00B37163">
              <w:rPr>
                <w:bCs/>
                <w:iCs/>
              </w:rPr>
              <w:t>ства и системы посадки ILS-734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разработку и передачу до 30.06.2015 г. в ОАО «Концерн ПВО «Алмаз-Антей» комме</w:t>
            </w:r>
            <w:r w:rsidRPr="00B37163">
              <w:rPr>
                <w:bCs/>
                <w:iCs/>
              </w:rPr>
              <w:t>р</w:t>
            </w:r>
            <w:r w:rsidRPr="00B37163">
              <w:rPr>
                <w:bCs/>
                <w:iCs/>
              </w:rPr>
              <w:t>ческих предложений по поставкам аэронавигац</w:t>
            </w:r>
            <w:r w:rsidRPr="00B37163">
              <w:rPr>
                <w:bCs/>
                <w:iCs/>
              </w:rPr>
              <w:t>и</w:t>
            </w:r>
            <w:r w:rsidRPr="00B37163">
              <w:rPr>
                <w:bCs/>
                <w:iCs/>
              </w:rPr>
              <w:t>онного оборудования и проведению ПИР и СМР</w:t>
            </w:r>
          </w:p>
        </w:tc>
      </w:tr>
      <w:tr w:rsidR="00281ED0" w:rsidRPr="00B37163" w:rsidTr="00281ED0">
        <w:tc>
          <w:tcPr>
            <w:tcW w:w="1854" w:type="pct"/>
            <w:vMerge w:val="restar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Постоянное повышение р</w:t>
            </w:r>
            <w:r w:rsidRPr="00B37163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>зультативности меропри</w:t>
            </w:r>
            <w:r w:rsidRPr="00B37163">
              <w:rPr>
                <w:bCs/>
                <w:iCs/>
              </w:rPr>
              <w:t>я</w:t>
            </w:r>
            <w:r w:rsidRPr="00B37163">
              <w:rPr>
                <w:bCs/>
                <w:iCs/>
              </w:rPr>
              <w:t>тий по обеспечению кач</w:t>
            </w:r>
            <w:r w:rsidRPr="00B37163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>ства предоставляемых услуг, а также производ</w:t>
            </w:r>
            <w:r w:rsidRPr="00B37163">
              <w:rPr>
                <w:bCs/>
                <w:iCs/>
              </w:rPr>
              <w:t>и</w:t>
            </w:r>
            <w:r w:rsidRPr="00B37163">
              <w:rPr>
                <w:bCs/>
                <w:iCs/>
              </w:rPr>
              <w:t>мой продукции на всех ст</w:t>
            </w:r>
            <w:r w:rsidRPr="00B37163">
              <w:rPr>
                <w:bCs/>
                <w:iCs/>
              </w:rPr>
              <w:t>а</w:t>
            </w:r>
            <w:r w:rsidRPr="00B37163">
              <w:rPr>
                <w:bCs/>
                <w:iCs/>
              </w:rPr>
              <w:t>диях её жизненного цикла и предупреждение отклон</w:t>
            </w:r>
            <w:r w:rsidRPr="00B37163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>ний от заданных требований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анализ и разработку предупрежда</w:t>
            </w:r>
            <w:r w:rsidRPr="00B37163">
              <w:rPr>
                <w:bCs/>
                <w:iCs/>
              </w:rPr>
              <w:t>ю</w:t>
            </w:r>
            <w:r w:rsidRPr="00B37163">
              <w:rPr>
                <w:bCs/>
                <w:iCs/>
              </w:rPr>
              <w:t>щих действий по 100% рекламаций со стороны заказчика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Организовать работу по выполнению 100% мер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приятий по несоответствиям, выявленным в ходе внутренних аудитов СМК</w:t>
            </w:r>
          </w:p>
        </w:tc>
      </w:tr>
      <w:tr w:rsidR="00281ED0" w:rsidRPr="00B37163" w:rsidTr="00281ED0">
        <w:trPr>
          <w:trHeight w:val="1175"/>
        </w:trPr>
        <w:tc>
          <w:tcPr>
            <w:tcW w:w="1854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Строгая регламентация по</w:t>
            </w:r>
            <w:r w:rsidRPr="00B37163">
              <w:rPr>
                <w:bCs/>
                <w:iCs/>
              </w:rPr>
              <w:t>л</w:t>
            </w:r>
            <w:r w:rsidRPr="00B37163">
              <w:rPr>
                <w:bCs/>
                <w:iCs/>
              </w:rPr>
              <w:t>номочий и обязанностей, достижение личной отве</w:t>
            </w:r>
            <w:r w:rsidRPr="00B37163">
              <w:rPr>
                <w:bCs/>
                <w:iCs/>
              </w:rPr>
              <w:t>т</w:t>
            </w:r>
            <w:r w:rsidRPr="00B37163">
              <w:rPr>
                <w:bCs/>
                <w:iCs/>
              </w:rPr>
              <w:t>ственности каждого рабо</w:t>
            </w:r>
            <w:r w:rsidRPr="00B37163">
              <w:rPr>
                <w:bCs/>
                <w:iCs/>
              </w:rPr>
              <w:t>т</w:t>
            </w:r>
            <w:r w:rsidRPr="00B37163">
              <w:rPr>
                <w:bCs/>
                <w:iCs/>
              </w:rPr>
              <w:t>ника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6C212F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проведение первичной и/или пери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дической аттестации 100% категорий работников, подлежащих аттестации, в установленные сроки</w:t>
            </w:r>
          </w:p>
        </w:tc>
      </w:tr>
      <w:tr w:rsidR="00281ED0" w:rsidRPr="00B37163" w:rsidTr="00281ED0">
        <w:tc>
          <w:tcPr>
            <w:tcW w:w="1854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Обеспечение компетентн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сти работников</w:t>
            </w:r>
          </w:p>
        </w:tc>
        <w:tc>
          <w:tcPr>
            <w:tcW w:w="3146" w:type="pct"/>
            <w:shd w:val="clear" w:color="auto" w:fill="auto"/>
          </w:tcPr>
          <w:p w:rsidR="006C212F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Обеспечить степень выполнения планов профе</w:t>
            </w:r>
            <w:r w:rsidRPr="00B37163">
              <w:rPr>
                <w:bCs/>
                <w:iCs/>
              </w:rPr>
              <w:t>с</w:t>
            </w:r>
            <w:r w:rsidRPr="00B37163">
              <w:rPr>
                <w:bCs/>
                <w:iCs/>
              </w:rPr>
              <w:t>сиональной подготовки персонала (фактическое количество специалистов, прошедших подгото</w:t>
            </w:r>
            <w:r w:rsidRPr="00B37163">
              <w:rPr>
                <w:bCs/>
                <w:iCs/>
              </w:rPr>
              <w:t>в</w:t>
            </w:r>
            <w:r w:rsidRPr="00B37163">
              <w:rPr>
                <w:bCs/>
                <w:iCs/>
              </w:rPr>
              <w:t xml:space="preserve">ку/требуемое количество). </w:t>
            </w:r>
          </w:p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Целевой показатель 0,8</w:t>
            </w:r>
          </w:p>
        </w:tc>
      </w:tr>
      <w:tr w:rsidR="00281ED0" w:rsidRPr="00B37163" w:rsidTr="00281ED0">
        <w:tc>
          <w:tcPr>
            <w:tcW w:w="1854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Постоянное улучшение с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циальных условий работн</w:t>
            </w:r>
            <w:r w:rsidRPr="00B37163">
              <w:rPr>
                <w:bCs/>
                <w:iCs/>
              </w:rPr>
              <w:t>и</w:t>
            </w:r>
            <w:r w:rsidRPr="00B37163">
              <w:rPr>
                <w:bCs/>
                <w:iCs/>
              </w:rPr>
              <w:t>ков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 xml:space="preserve">Обеспечить степень выполнения мероприятий социального характера (фактическое количество проведённых </w:t>
            </w:r>
            <w:proofErr w:type="gramStart"/>
            <w:r w:rsidRPr="00B37163">
              <w:rPr>
                <w:bCs/>
                <w:iCs/>
              </w:rPr>
              <w:t>мероприятий</w:t>
            </w:r>
            <w:proofErr w:type="gramEnd"/>
            <w:r w:rsidRPr="00B37163">
              <w:rPr>
                <w:bCs/>
                <w:iCs/>
              </w:rPr>
              <w:t>/запланированное к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 xml:space="preserve">личество).                                        </w:t>
            </w:r>
          </w:p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Целевой показатель 0,8</w:t>
            </w:r>
          </w:p>
        </w:tc>
      </w:tr>
      <w:tr w:rsidR="00281ED0" w:rsidRPr="00B37163" w:rsidTr="00281ED0">
        <w:tc>
          <w:tcPr>
            <w:tcW w:w="1854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Обеспечение экономической стабильности организации и, как следствие, повышение благосостояния каждого р</w:t>
            </w:r>
            <w:r w:rsidRPr="00B37163">
              <w:rPr>
                <w:bCs/>
                <w:iCs/>
              </w:rPr>
              <w:t>а</w:t>
            </w:r>
            <w:r w:rsidRPr="00B37163">
              <w:rPr>
                <w:bCs/>
                <w:iCs/>
              </w:rPr>
              <w:t>ботника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Диверсификация направлений деятельности:</w:t>
            </w:r>
          </w:p>
          <w:p w:rsidR="00281ED0" w:rsidRPr="00B37163" w:rsidRDefault="00281ED0" w:rsidP="00281ED0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sym w:font="Symbol" w:char="F02D"/>
            </w:r>
            <w:r w:rsidRPr="00B37163">
              <w:rPr>
                <w:bCs/>
                <w:iCs/>
              </w:rPr>
              <w:t xml:space="preserve">  разработка и поставка станций посадки;</w:t>
            </w:r>
          </w:p>
          <w:p w:rsidR="00281ED0" w:rsidRPr="00B37163" w:rsidRDefault="00281ED0" w:rsidP="006C212F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sym w:font="Symbol" w:char="F02D"/>
            </w:r>
            <w:r w:rsidRPr="00B37163">
              <w:rPr>
                <w:bCs/>
                <w:iCs/>
              </w:rPr>
              <w:t xml:space="preserve"> разработка и поставка оборудования для нан</w:t>
            </w:r>
            <w:r w:rsidRPr="00B37163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>сения маркировки</w:t>
            </w:r>
          </w:p>
        </w:tc>
      </w:tr>
      <w:tr w:rsidR="00281ED0" w:rsidRPr="00B37163" w:rsidTr="00281ED0">
        <w:tc>
          <w:tcPr>
            <w:tcW w:w="1854" w:type="pct"/>
            <w:vMerge w:val="restart"/>
            <w:shd w:val="clear" w:color="auto" w:fill="auto"/>
          </w:tcPr>
          <w:p w:rsidR="00281ED0" w:rsidRPr="00B37163" w:rsidRDefault="00281ED0" w:rsidP="006C212F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lastRenderedPageBreak/>
              <w:t>Постоянное совершенств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вание системы менеджмента качества и повышение р</w:t>
            </w:r>
            <w:r w:rsidRPr="00B37163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>зультативности е</w:t>
            </w:r>
            <w:r w:rsidR="006C212F">
              <w:rPr>
                <w:bCs/>
                <w:iCs/>
              </w:rPr>
              <w:t>е</w:t>
            </w:r>
            <w:r w:rsidRPr="00B37163">
              <w:rPr>
                <w:bCs/>
                <w:iCs/>
              </w:rPr>
              <w:t xml:space="preserve"> функци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нирования</w:t>
            </w: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6C212F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Достижение степени результативности функци</w:t>
            </w:r>
            <w:r w:rsidRPr="00B37163">
              <w:rPr>
                <w:bCs/>
                <w:iCs/>
              </w:rPr>
              <w:t>о</w:t>
            </w:r>
            <w:r w:rsidRPr="00B37163">
              <w:rPr>
                <w:bCs/>
                <w:iCs/>
              </w:rPr>
              <w:t>нирования СМК не менее 0,85</w:t>
            </w:r>
          </w:p>
        </w:tc>
      </w:tr>
      <w:tr w:rsidR="00281ED0" w:rsidRPr="00B37163" w:rsidTr="00281ED0">
        <w:tc>
          <w:tcPr>
            <w:tcW w:w="1854" w:type="pct"/>
            <w:vMerge/>
            <w:shd w:val="clear" w:color="auto" w:fill="auto"/>
          </w:tcPr>
          <w:p w:rsidR="00281ED0" w:rsidRPr="00B37163" w:rsidRDefault="00281ED0" w:rsidP="00281ED0">
            <w:pPr>
              <w:rPr>
                <w:bCs/>
                <w:iCs/>
              </w:rPr>
            </w:pPr>
          </w:p>
        </w:tc>
        <w:tc>
          <w:tcPr>
            <w:tcW w:w="3146" w:type="pct"/>
            <w:shd w:val="clear" w:color="auto" w:fill="auto"/>
          </w:tcPr>
          <w:p w:rsidR="00281ED0" w:rsidRPr="00B37163" w:rsidRDefault="00281ED0" w:rsidP="006C212F">
            <w:pPr>
              <w:ind w:firstLine="0"/>
              <w:rPr>
                <w:bCs/>
                <w:iCs/>
              </w:rPr>
            </w:pPr>
            <w:r w:rsidRPr="00B37163">
              <w:rPr>
                <w:bCs/>
                <w:iCs/>
              </w:rPr>
              <w:t>Обеспечение успешного проведения инспекцио</w:t>
            </w:r>
            <w:r w:rsidRPr="00B37163">
              <w:rPr>
                <w:bCs/>
                <w:iCs/>
              </w:rPr>
              <w:t>н</w:t>
            </w:r>
            <w:r w:rsidRPr="00B37163">
              <w:rPr>
                <w:bCs/>
                <w:iCs/>
              </w:rPr>
              <w:t>ного аудита СМК Организации на соответствие требованиям ГОСТ ISO 9001-2011 и ГОСТ РВ 0015-002-2012</w:t>
            </w:r>
          </w:p>
        </w:tc>
      </w:tr>
    </w:tbl>
    <w:p w:rsidR="00281ED0" w:rsidRDefault="00281ED0"/>
    <w:p w:rsidR="00281ED0" w:rsidRDefault="00281ED0"/>
    <w:sectPr w:rsidR="00281ED0" w:rsidSect="006C212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0"/>
    <w:rsid w:val="00281ED0"/>
    <w:rsid w:val="006C212F"/>
    <w:rsid w:val="00B37163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Шентябин Александр Николаевич</dc:creator>
  <cp:lastModifiedBy>Шентябин Александр Николаевич</cp:lastModifiedBy>
  <cp:revision>3</cp:revision>
  <dcterms:created xsi:type="dcterms:W3CDTF">2015-09-22T14:12:00Z</dcterms:created>
  <dcterms:modified xsi:type="dcterms:W3CDTF">2015-09-22T15:35:00Z</dcterms:modified>
</cp:coreProperties>
</file>